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C6" w:rsidRPr="00E103C6" w:rsidRDefault="00E103C6" w:rsidP="00E103C6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b/>
          <w:i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7"/>
          <w:szCs w:val="27"/>
          <w:lang w:eastAsia="ru-RU"/>
        </w:rPr>
        <w:t xml:space="preserve">                                            </w:t>
      </w:r>
      <w:r w:rsidRPr="00E103C6">
        <w:rPr>
          <w:rFonts w:ascii="Times New Roman" w:eastAsia="Times New Roman" w:hAnsi="Times New Roman" w:cs="Times New Roman"/>
          <w:b/>
          <w:i/>
          <w:color w:val="252525"/>
          <w:sz w:val="27"/>
          <w:szCs w:val="27"/>
          <w:lang w:eastAsia="ru-RU"/>
        </w:rPr>
        <w:t>ВАЖНО ЗНАТЬ!!!</w:t>
      </w:r>
    </w:p>
    <w:p w:rsidR="00E103C6" w:rsidRPr="00E103C6" w:rsidRDefault="00E103C6" w:rsidP="00E103C6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По номеру 112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можно позвонить, если в телефоне нет SIM-карты, или он не ловит сеть вашего оператора, или у вас отрицательный баланс. Из любого места звонок будет бесплатным.</w:t>
      </w:r>
    </w:p>
    <w:p w:rsidR="00E103C6" w:rsidRPr="00E103C6" w:rsidRDefault="00E103C6" w:rsidP="00E103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hyperlink r:id="rId6" w:tgtFrame="_blank" w:history="1">
        <w:r w:rsidRPr="00E103C6">
          <w:rPr>
            <w:rStyle w:val="a3"/>
            <w:rFonts w:ascii="Times New Roman" w:hAnsi="Times New Roman" w:cs="Times New Roman"/>
            <w:b/>
            <w:bCs/>
            <w:color w:val="005CA1"/>
            <w:sz w:val="24"/>
            <w:szCs w:val="24"/>
          </w:rPr>
          <w:t>20 операторов, психолог и сурдопереводчик принимают звонки на номер 112</w:t>
        </w:r>
      </w:hyperlink>
    </w:p>
    <w:p w:rsidR="00E103C6" w:rsidRDefault="00E103C6" w:rsidP="00E103C6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Остаются актуальны прежние номера для вызова экстренных служб (в скобках указаны номера для звонка с сотового телефона):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01 (010)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пожарные и спасатели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02 (020)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полиция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03 (030)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скорая помощь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04 (040)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аварийная газовая служба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051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единая дежурно-диспетчерская служба Новосибирска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266-06-93, 266-15-57, 8-913-891-67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дежурный аварийно-спасательной службы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373-45-75, 373-45-74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единая дежурно-диспетчерская служба предупреждения и ликвидации чрезвычайных ситуаций по Новосибирскому району</w:t>
      </w:r>
    </w:p>
    <w:p w:rsidR="00E103C6" w:rsidRDefault="00E103C6" w:rsidP="00E103C6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Аэропорт Толмачево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Call-центр (единая справочная):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216-99-99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Авиакассы (круглосуточно):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216-97-50, 8 (383) 216-97-51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Служба организации парковки: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216-93-31, +7 923-110-76-74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Таможенный пост (дежурный):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328-19-91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Пограничный контроль (дежурный):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216-98-54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Медпункт: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216-97-57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br/>
        <w:t>Центральное агентство воздушных сообщений: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056</w:t>
      </w:r>
    </w:p>
    <w:p w:rsidR="00E103C6" w:rsidRPr="00E103C6" w:rsidRDefault="00E103C6" w:rsidP="00E103C6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Железнодорожный вокзал Новосибирск-Главный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br/>
        <w:t>Справочная вокзала по пассажирским поездам: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005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Единый информационно-сервисный центр «РЖД»: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8-800-775-00-00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Пункт полиции: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229-34-00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Медпункт: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229-35-34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Багажное отделение: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229-30-25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Услуги по переноске ручной клади пассажиров:</w:t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 (383) 229-22-34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br/>
      </w:r>
      <w:r w:rsidRPr="00E103C6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  <w:lang w:eastAsia="ru-RU"/>
        </w:rPr>
        <w:t>Бронирование номеров в гостинице вокзала:</w:t>
      </w:r>
      <w:r w:rsidRPr="00E103C6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E103C6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8 (383) 229-23-76</w:t>
      </w:r>
    </w:p>
    <w:p w:rsidR="00E0347A" w:rsidRPr="00E103C6" w:rsidRDefault="00E0347A" w:rsidP="00E0347A">
      <w:pPr>
        <w:spacing w:after="374" w:line="48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47"/>
          <w:szCs w:val="47"/>
          <w:lang w:eastAsia="ru-RU"/>
        </w:rPr>
      </w:pPr>
      <w:r w:rsidRPr="00E103C6">
        <w:rPr>
          <w:rFonts w:ascii="Times New Roman" w:eastAsia="Times New Roman" w:hAnsi="Times New Roman" w:cs="Times New Roman"/>
          <w:b/>
          <w:bCs/>
          <w:color w:val="005EA5"/>
          <w:kern w:val="36"/>
          <w:sz w:val="47"/>
          <w:szCs w:val="47"/>
          <w:lang w:eastAsia="ru-RU"/>
        </w:rPr>
        <w:lastRenderedPageBreak/>
        <w:t>Федеральный закон от 06.03.2006 N 35-ФЗ (ред. от 06.07.2016) "О противодействии терроризму" (с изм. и доп., вступ. в силу с 01.01.2017)</w:t>
      </w:r>
    </w:p>
    <w:p w:rsidR="00E0347A" w:rsidRPr="00E103C6" w:rsidRDefault="00E0347A" w:rsidP="00E0347A">
      <w:pPr>
        <w:spacing w:after="0" w:line="41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3"/>
      <w:bookmarkEnd w:id="0"/>
      <w:r w:rsidRPr="00E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0347A" w:rsidRPr="00E103C6" w:rsidRDefault="00E0347A" w:rsidP="00E0347A">
      <w:pPr>
        <w:spacing w:after="0" w:line="41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4"/>
      <w:bookmarkEnd w:id="1"/>
      <w:r w:rsidRPr="00E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E0347A" w:rsidRPr="00E103C6" w:rsidRDefault="00E0347A" w:rsidP="00E0347A">
      <w:pPr>
        <w:spacing w:after="0" w:line="41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5"/>
      <w:bookmarkEnd w:id="2"/>
      <w:r w:rsidRPr="00E1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ТЕРРОРИЗМУ</w:t>
      </w:r>
    </w:p>
    <w:p w:rsidR="00360411" w:rsidRPr="00E103C6" w:rsidRDefault="00360411" w:rsidP="00360411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Статья 1. Правовая основа противодействия терроризму</w:t>
      </w:r>
    </w:p>
    <w:p w:rsidR="00360411" w:rsidRPr="00E103C6" w:rsidRDefault="00360411" w:rsidP="00360411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0"/>
      <w:bookmarkEnd w:id="3"/>
      <w:r w:rsidRPr="00E103C6">
        <w:rPr>
          <w:color w:val="000000"/>
          <w:sz w:val="28"/>
          <w:szCs w:val="28"/>
        </w:rPr>
        <w:t>Правовую основу противодействия терроризму составляют</w:t>
      </w:r>
      <w:r w:rsidR="00464FD4" w:rsidRPr="00E103C6">
        <w:rPr>
          <w:color w:val="000000"/>
          <w:sz w:val="28"/>
          <w:szCs w:val="28"/>
        </w:rPr>
        <w:t xml:space="preserve"> </w:t>
      </w:r>
      <w:hyperlink r:id="rId7" w:history="1">
        <w:r w:rsidRPr="00E103C6">
          <w:rPr>
            <w:rStyle w:val="a3"/>
            <w:color w:val="005EA5"/>
            <w:sz w:val="28"/>
            <w:szCs w:val="28"/>
            <w:bdr w:val="none" w:sz="0" w:space="0" w:color="auto" w:frame="1"/>
          </w:rPr>
          <w:t>Конституция</w:t>
        </w:r>
      </w:hyperlink>
      <w:r w:rsidRPr="00E103C6">
        <w:rPr>
          <w:rStyle w:val="apple-converted-space"/>
          <w:color w:val="000000"/>
          <w:sz w:val="28"/>
          <w:szCs w:val="28"/>
        </w:rPr>
        <w:t> </w:t>
      </w:r>
      <w:r w:rsidRPr="00E103C6">
        <w:rPr>
          <w:color w:val="000000"/>
          <w:sz w:val="28"/>
          <w:szCs w:val="28"/>
        </w:rPr>
        <w:t>Российской Федерации,</w:t>
      </w:r>
    </w:p>
    <w:p w:rsidR="00F45958" w:rsidRPr="00E103C6" w:rsidRDefault="00F45958" w:rsidP="00F45958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Статья 2. Основные принципы противодействия терроризму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2"/>
      <w:bookmarkEnd w:id="4"/>
      <w:r w:rsidRPr="00E103C6">
        <w:rPr>
          <w:color w:val="000000"/>
          <w:sz w:val="28"/>
          <w:szCs w:val="28"/>
        </w:rPr>
        <w:t>Противодействие терроризму в Российской Федерации основывается на следующих основных принципах: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3"/>
      <w:bookmarkEnd w:id="5"/>
      <w:r w:rsidRPr="00E103C6">
        <w:rPr>
          <w:color w:val="000000"/>
          <w:sz w:val="28"/>
          <w:szCs w:val="28"/>
        </w:rPr>
        <w:t>1) обеспечение и защита основных прав и свобод человека и гражданина;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4"/>
      <w:bookmarkEnd w:id="6"/>
      <w:r w:rsidRPr="00E103C6">
        <w:rPr>
          <w:color w:val="000000"/>
          <w:sz w:val="28"/>
          <w:szCs w:val="28"/>
        </w:rPr>
        <w:t>2) законность;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15"/>
      <w:bookmarkEnd w:id="7"/>
      <w:r w:rsidRPr="00E103C6">
        <w:rPr>
          <w:color w:val="000000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16"/>
      <w:bookmarkEnd w:id="8"/>
      <w:r w:rsidRPr="00E103C6">
        <w:rPr>
          <w:color w:val="000000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17"/>
      <w:bookmarkEnd w:id="9"/>
      <w:r w:rsidRPr="00E103C6">
        <w:rPr>
          <w:color w:val="000000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18"/>
      <w:bookmarkEnd w:id="10"/>
      <w:r w:rsidRPr="00E103C6">
        <w:rPr>
          <w:color w:val="000000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19"/>
      <w:bookmarkEnd w:id="11"/>
      <w:r w:rsidRPr="00E103C6">
        <w:rPr>
          <w:color w:val="000000"/>
          <w:sz w:val="28"/>
          <w:szCs w:val="28"/>
        </w:rPr>
        <w:t>7) приоритет мер предупреждения терроризма;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20"/>
      <w:bookmarkEnd w:id="12"/>
      <w:r w:rsidRPr="00E103C6">
        <w:rPr>
          <w:color w:val="000000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21"/>
      <w:bookmarkEnd w:id="13"/>
      <w:r w:rsidRPr="00E103C6">
        <w:rPr>
          <w:color w:val="000000"/>
          <w:sz w:val="28"/>
          <w:szCs w:val="28"/>
        </w:rPr>
        <w:t>9) сочетание гласных и негласных методов противодействия терроризму;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22"/>
      <w:bookmarkEnd w:id="14"/>
      <w:r w:rsidRPr="00E103C6">
        <w:rPr>
          <w:color w:val="000000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23"/>
      <w:bookmarkEnd w:id="15"/>
      <w:r w:rsidRPr="00E103C6">
        <w:rPr>
          <w:color w:val="000000"/>
          <w:sz w:val="28"/>
          <w:szCs w:val="28"/>
        </w:rPr>
        <w:lastRenderedPageBreak/>
        <w:t>11) недопустимость политических уступок террористам;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24"/>
      <w:bookmarkEnd w:id="16"/>
      <w:r w:rsidRPr="00E103C6">
        <w:rPr>
          <w:color w:val="000000"/>
          <w:sz w:val="28"/>
          <w:szCs w:val="28"/>
        </w:rPr>
        <w:t>12) минимизация и (или) ликвидация последствий проявлений терроризма;</w:t>
      </w:r>
    </w:p>
    <w:p w:rsidR="00F45958" w:rsidRPr="00E103C6" w:rsidRDefault="00F45958" w:rsidP="00F45958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25"/>
      <w:bookmarkEnd w:id="17"/>
      <w:r w:rsidRPr="00E103C6">
        <w:rPr>
          <w:color w:val="000000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480285" w:rsidRPr="00E103C6" w:rsidRDefault="00DC470B">
      <w:pPr>
        <w:rPr>
          <w:rFonts w:ascii="Times New Roman" w:hAnsi="Times New Roman" w:cs="Times New Roman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1) терроризм - идеология насилия</w:t>
      </w:r>
      <w:r w:rsidR="00886112" w:rsidRPr="00E103C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незаконного вооруженного формирования, преступного сообщества (преступной организации),</w:t>
      </w:r>
      <w:r w:rsidR="00886112" w:rsidRPr="00E103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48E0" w:rsidRPr="00E103C6" w:rsidRDefault="00480285" w:rsidP="00480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- совершение взрыва, поджога или иных действий, устрашающих население и создающих опасность гибели человека,</w:t>
      </w:r>
    </w:p>
    <w:p w:rsidR="00DC3465" w:rsidRPr="00E103C6" w:rsidRDefault="002C48E0" w:rsidP="00480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противодействие терроризму - деятельность органов государственной власти</w:t>
      </w:r>
      <w:r w:rsidRPr="00E103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48E0" w:rsidRPr="00E103C6" w:rsidRDefault="002C48E0" w:rsidP="002C48E0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Правительство Российской Федерации: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50"/>
      <w:bookmarkEnd w:id="18"/>
      <w:r w:rsidRPr="00E103C6">
        <w:rPr>
          <w:color w:val="000000"/>
          <w:sz w:val="28"/>
          <w:szCs w:val="28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51"/>
      <w:bookmarkEnd w:id="19"/>
      <w:r w:rsidRPr="00E103C6">
        <w:rPr>
          <w:color w:val="000000"/>
          <w:sz w:val="28"/>
          <w:szCs w:val="28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52"/>
      <w:bookmarkEnd w:id="20"/>
      <w:r w:rsidRPr="00E103C6">
        <w:rPr>
          <w:color w:val="000000"/>
          <w:sz w:val="28"/>
          <w:szCs w:val="28"/>
        </w:rPr>
        <w:t>3) организует обеспечение деятельности федеральных органов исполнительной власти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000020"/>
      <w:bookmarkEnd w:id="21"/>
      <w:r w:rsidRPr="00E103C6">
        <w:rPr>
          <w:color w:val="000000"/>
          <w:sz w:val="28"/>
          <w:szCs w:val="28"/>
        </w:rPr>
        <w:t>4) устанавливает обязательные для выполнения требования к антитеррористической защищенности объектов (территорий)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000029"/>
      <w:bookmarkEnd w:id="22"/>
      <w:r w:rsidRPr="00E103C6">
        <w:rPr>
          <w:color w:val="000000"/>
          <w:sz w:val="28"/>
          <w:szCs w:val="28"/>
        </w:rPr>
        <w:t>5) устанавливает порядок взаимодействия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53"/>
      <w:bookmarkStart w:id="24" w:name="000021"/>
      <w:bookmarkStart w:id="25" w:name="000030"/>
      <w:bookmarkStart w:id="26" w:name="000022"/>
      <w:bookmarkStart w:id="27" w:name="100054"/>
      <w:bookmarkEnd w:id="23"/>
      <w:bookmarkEnd w:id="24"/>
      <w:bookmarkEnd w:id="25"/>
      <w:bookmarkEnd w:id="26"/>
      <w:bookmarkEnd w:id="27"/>
      <w:r w:rsidRPr="00E103C6">
        <w:rPr>
          <w:color w:val="000000"/>
          <w:sz w:val="28"/>
          <w:szCs w:val="28"/>
        </w:rPr>
        <w:t xml:space="preserve">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000031"/>
      <w:bookmarkEnd w:id="28"/>
    </w:p>
    <w:p w:rsidR="002C48E0" w:rsidRPr="00E103C6" w:rsidRDefault="002C48E0" w:rsidP="002C48E0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29" w:name="000032"/>
      <w:bookmarkStart w:id="30" w:name="000009"/>
      <w:bookmarkEnd w:id="29"/>
      <w:bookmarkEnd w:id="30"/>
      <w:r w:rsidRPr="00E103C6">
        <w:rPr>
          <w:color w:val="000000"/>
          <w:sz w:val="28"/>
          <w:szCs w:val="28"/>
        </w:rPr>
        <w:t xml:space="preserve">- В целях своевременного информирования населения о возникновении угрозы террористического акта 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Порядок </w:t>
      </w:r>
      <w:r w:rsidRPr="00E103C6">
        <w:rPr>
          <w:color w:val="000000"/>
          <w:sz w:val="28"/>
          <w:szCs w:val="28"/>
        </w:rPr>
        <w:lastRenderedPageBreak/>
        <w:t>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</w:t>
      </w:r>
      <w:bookmarkStart w:id="31" w:name="100204"/>
      <w:bookmarkStart w:id="32" w:name="100205"/>
      <w:bookmarkStart w:id="33" w:name="100206"/>
      <w:bookmarkStart w:id="34" w:name="100207"/>
      <w:bookmarkStart w:id="35" w:name="100208"/>
      <w:bookmarkEnd w:id="31"/>
      <w:bookmarkEnd w:id="32"/>
      <w:bookmarkEnd w:id="33"/>
      <w:bookmarkEnd w:id="34"/>
      <w:bookmarkEnd w:id="35"/>
      <w:r w:rsidR="00457870" w:rsidRPr="00E103C6">
        <w:rPr>
          <w:color w:val="000000"/>
          <w:sz w:val="28"/>
          <w:szCs w:val="28"/>
        </w:rPr>
        <w:t>ии</w:t>
      </w:r>
    </w:p>
    <w:p w:rsidR="00501E48" w:rsidRPr="00E103C6" w:rsidRDefault="004824DB" w:rsidP="00480285">
      <w:pPr>
        <w:rPr>
          <w:rFonts w:ascii="Times New Roman" w:hAnsi="Times New Roman" w:cs="Times New Roman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Статья 24. Ответственность организаций за причастность к терроризму</w:t>
      </w:r>
    </w:p>
    <w:p w:rsidR="00471E23" w:rsidRPr="00E103C6" w:rsidRDefault="00501E48" w:rsidP="00501E48">
      <w:pPr>
        <w:rPr>
          <w:rFonts w:ascii="Times New Roman" w:hAnsi="Times New Roman" w:cs="Times New Roman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</w:t>
      </w:r>
      <w:r w:rsidRPr="00E103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1E23" w:rsidRPr="00E103C6" w:rsidRDefault="00471E23" w:rsidP="00471E23">
      <w:pPr>
        <w:rPr>
          <w:rFonts w:ascii="Times New Roman" w:hAnsi="Times New Roman" w:cs="Times New Roman"/>
        </w:rPr>
      </w:pPr>
    </w:p>
    <w:p w:rsidR="00577AD5" w:rsidRPr="00E103C6" w:rsidRDefault="00577AD5" w:rsidP="00471E23">
      <w:pPr>
        <w:rPr>
          <w:rFonts w:ascii="Times New Roman" w:hAnsi="Times New Roman" w:cs="Times New Roman"/>
        </w:rPr>
      </w:pPr>
    </w:p>
    <w:p w:rsidR="00464FD4" w:rsidRPr="00E103C6" w:rsidRDefault="00464FD4" w:rsidP="00471E23">
      <w:pPr>
        <w:rPr>
          <w:rFonts w:ascii="Times New Roman" w:hAnsi="Times New Roman" w:cs="Times New Roman"/>
        </w:rPr>
      </w:pPr>
    </w:p>
    <w:p w:rsidR="00471E23" w:rsidRPr="00E103C6" w:rsidRDefault="00471E23" w:rsidP="00471E23">
      <w:pPr>
        <w:pStyle w:val="1"/>
        <w:spacing w:before="0" w:beforeAutospacing="0" w:after="374" w:afterAutospacing="0" w:line="486" w:lineRule="atLeast"/>
        <w:textAlignment w:val="baseline"/>
        <w:rPr>
          <w:color w:val="005EA5"/>
          <w:sz w:val="47"/>
          <w:szCs w:val="47"/>
        </w:rPr>
      </w:pPr>
      <w:r w:rsidRPr="00E103C6">
        <w:rPr>
          <w:color w:val="005EA5"/>
          <w:sz w:val="47"/>
          <w:szCs w:val="47"/>
        </w:rPr>
        <w:t>Федеральный закон от 25.07.2002 N 114-ФЗ (ред. от 23.11.2015) "О противодействии экстремистской деятельности"</w:t>
      </w:r>
    </w:p>
    <w:p w:rsidR="00471E23" w:rsidRPr="00E103C6" w:rsidRDefault="00471E23" w:rsidP="00471E23">
      <w:pPr>
        <w:pStyle w:val="pcenter"/>
        <w:spacing w:before="0" w:beforeAutospacing="0" w:after="0" w:afterAutospacing="0" w:line="411" w:lineRule="atLeast"/>
        <w:jc w:val="center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РОССИЙСКАЯ ФЕДЕРАЦИЯ</w:t>
      </w:r>
    </w:p>
    <w:p w:rsidR="00471E23" w:rsidRPr="00E103C6" w:rsidRDefault="00471E23" w:rsidP="00471E23">
      <w:pPr>
        <w:pStyle w:val="pcenter"/>
        <w:spacing w:before="0" w:beforeAutospacing="0" w:after="0" w:afterAutospacing="0" w:line="411" w:lineRule="atLeast"/>
        <w:jc w:val="center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ФЕДЕРАЛЬНЫЙ ЗАКОН</w:t>
      </w:r>
    </w:p>
    <w:p w:rsidR="00471E23" w:rsidRPr="00E103C6" w:rsidRDefault="00471E23" w:rsidP="00471E23">
      <w:pPr>
        <w:pStyle w:val="pcenter"/>
        <w:spacing w:before="0" w:beforeAutospacing="0" w:after="0" w:afterAutospacing="0" w:line="411" w:lineRule="atLeast"/>
        <w:jc w:val="center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О ПРОТИВОДЕЙСТВИИ ЭКСТРЕМИСТСКОЙ ДЕЯТЕЛЬНОСТИ</w:t>
      </w:r>
    </w:p>
    <w:p w:rsidR="00471E23" w:rsidRPr="00E103C6" w:rsidRDefault="00471E23" w:rsidP="00471E23">
      <w:pPr>
        <w:pStyle w:val="pright"/>
        <w:spacing w:before="0" w:beforeAutospacing="0" w:after="0" w:afterAutospacing="0" w:line="411" w:lineRule="atLeast"/>
        <w:jc w:val="right"/>
        <w:textAlignment w:val="baseline"/>
        <w:rPr>
          <w:color w:val="000000"/>
          <w:sz w:val="28"/>
          <w:szCs w:val="28"/>
        </w:rPr>
      </w:pPr>
      <w:bookmarkStart w:id="36" w:name="100006"/>
      <w:bookmarkEnd w:id="36"/>
      <w:r w:rsidRPr="00E103C6">
        <w:rPr>
          <w:color w:val="000000"/>
          <w:sz w:val="28"/>
          <w:szCs w:val="28"/>
        </w:rPr>
        <w:t>Принят</w:t>
      </w:r>
    </w:p>
    <w:p w:rsidR="00471E23" w:rsidRPr="00E103C6" w:rsidRDefault="00471E23" w:rsidP="00471E23">
      <w:pPr>
        <w:pStyle w:val="pright"/>
        <w:spacing w:before="0" w:beforeAutospacing="0" w:after="224" w:afterAutospacing="0" w:line="411" w:lineRule="atLeast"/>
        <w:jc w:val="right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Государственной Думой</w:t>
      </w:r>
    </w:p>
    <w:p w:rsidR="00471E23" w:rsidRPr="00E103C6" w:rsidRDefault="00471E23" w:rsidP="00471E23">
      <w:pPr>
        <w:pStyle w:val="pright"/>
        <w:spacing w:before="0" w:beforeAutospacing="0" w:after="224" w:afterAutospacing="0" w:line="411" w:lineRule="atLeast"/>
        <w:jc w:val="right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27 июня 2002 год</w:t>
      </w:r>
    </w:p>
    <w:p w:rsidR="007D012F" w:rsidRPr="00E103C6" w:rsidRDefault="007D012F" w:rsidP="007D012F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115"/>
      <w:bookmarkStart w:id="38" w:name="100009"/>
      <w:bookmarkStart w:id="39" w:name="100011"/>
      <w:bookmarkStart w:id="40" w:name="100114"/>
      <w:bookmarkStart w:id="41" w:name="100026"/>
      <w:bookmarkEnd w:id="37"/>
      <w:bookmarkEnd w:id="38"/>
      <w:bookmarkEnd w:id="39"/>
      <w:bookmarkEnd w:id="40"/>
      <w:bookmarkEnd w:id="41"/>
      <w:r w:rsidRPr="00E103C6">
        <w:rPr>
          <w:color w:val="000000"/>
          <w:sz w:val="28"/>
          <w:szCs w:val="28"/>
        </w:rPr>
        <w:t>Статья 1. Основные понятия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116"/>
      <w:bookmarkEnd w:id="42"/>
      <w:r w:rsidRPr="00E103C6">
        <w:rPr>
          <w:color w:val="000000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141"/>
      <w:bookmarkStart w:id="44" w:name="100117"/>
      <w:bookmarkStart w:id="45" w:name="100118"/>
      <w:bookmarkStart w:id="46" w:name="100119"/>
      <w:bookmarkStart w:id="47" w:name="100120"/>
      <w:bookmarkStart w:id="48" w:name="100121"/>
      <w:bookmarkStart w:id="49" w:name="100122"/>
      <w:bookmarkStart w:id="50" w:name="100123"/>
      <w:bookmarkStart w:id="51" w:name="100124"/>
      <w:bookmarkStart w:id="52" w:name="100125"/>
      <w:bookmarkStart w:id="53" w:name="100126"/>
      <w:bookmarkStart w:id="54" w:name="100127"/>
      <w:bookmarkStart w:id="55" w:name="100128"/>
      <w:bookmarkStart w:id="56" w:name="100129"/>
      <w:bookmarkStart w:id="57" w:name="100130"/>
      <w:bookmarkStart w:id="58" w:name="100131"/>
      <w:bookmarkStart w:id="59" w:name="100132"/>
      <w:bookmarkStart w:id="60" w:name="100133"/>
      <w:bookmarkStart w:id="61" w:name="100134"/>
      <w:bookmarkStart w:id="62" w:name="100135"/>
      <w:bookmarkStart w:id="63" w:name="10013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E103C6">
        <w:rPr>
          <w:color w:val="000000"/>
          <w:sz w:val="28"/>
          <w:szCs w:val="28"/>
        </w:rPr>
        <w:t>1) экстремистская деятельность (экстремизм):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4" w:name="100142"/>
      <w:bookmarkEnd w:id="64"/>
      <w:r w:rsidRPr="00E103C6">
        <w:rPr>
          <w:color w:val="000000"/>
          <w:sz w:val="28"/>
          <w:szCs w:val="28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5" w:name="100143"/>
      <w:bookmarkEnd w:id="65"/>
      <w:r w:rsidRPr="00E103C6">
        <w:rPr>
          <w:color w:val="000000"/>
          <w:sz w:val="28"/>
          <w:szCs w:val="28"/>
        </w:rPr>
        <w:t>публичное оправдание терроризма и иная террористическая деятельность;</w:t>
      </w:r>
    </w:p>
    <w:p w:rsidR="007D012F" w:rsidRPr="00E103C6" w:rsidRDefault="007D012F" w:rsidP="007D012F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6" w:name="100144"/>
      <w:bookmarkEnd w:id="66"/>
      <w:r w:rsidRPr="00E103C6">
        <w:rPr>
          <w:color w:val="000000"/>
          <w:sz w:val="28"/>
          <w:szCs w:val="28"/>
        </w:rPr>
        <w:t>возбуждение социальной, расовой, национальной или религиозной розни;</w:t>
      </w:r>
    </w:p>
    <w:p w:rsidR="00F65D58" w:rsidRPr="00E103C6" w:rsidRDefault="00065535" w:rsidP="00471E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  <w:r w:rsidR="00F65D58" w:rsidRPr="00E10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8E0" w:rsidRPr="00E103C6" w:rsidRDefault="00F65D58" w:rsidP="00471E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2) экстремистская организация - общественное или религиозное объединение</w:t>
      </w:r>
    </w:p>
    <w:p w:rsidR="00346D54" w:rsidRPr="00E103C6" w:rsidRDefault="00C400E6" w:rsidP="00471E23">
      <w:pPr>
        <w:rPr>
          <w:rFonts w:ascii="Times New Roman" w:hAnsi="Times New Roman" w:cs="Times New Roman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</w:t>
      </w:r>
      <w:r w:rsidRPr="00E103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56DB" w:rsidRPr="00E103C6" w:rsidRDefault="00346D54" w:rsidP="00346D54">
      <w:pPr>
        <w:rPr>
          <w:rFonts w:ascii="Times New Roman" w:hAnsi="Times New Roman" w:cs="Times New Roman"/>
        </w:rPr>
      </w:pPr>
      <w:r w:rsidRPr="00E103C6">
        <w:rPr>
          <w:rFonts w:ascii="Times New Roman" w:hAnsi="Times New Roman" w:cs="Times New Roman"/>
          <w:color w:val="000000"/>
          <w:sz w:val="28"/>
          <w:szCs w:val="28"/>
        </w:rPr>
        <w:t>4) символика экстремистской организации - символика, описание которой содержится в учредительных документах организации.</w:t>
      </w:r>
    </w:p>
    <w:p w:rsidR="00A656DB" w:rsidRPr="00E103C6" w:rsidRDefault="00A656DB" w:rsidP="00A656DB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Статья 2. Основные принципы противодействия экстремистской деятельности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7" w:name="100028"/>
      <w:bookmarkEnd w:id="67"/>
      <w:r w:rsidRPr="00E103C6">
        <w:rPr>
          <w:color w:val="000000"/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8" w:name="100029"/>
      <w:bookmarkEnd w:id="68"/>
      <w:r w:rsidRPr="00E103C6">
        <w:rPr>
          <w:color w:val="000000"/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69" w:name="100030"/>
      <w:bookmarkEnd w:id="69"/>
      <w:r w:rsidRPr="00E103C6">
        <w:rPr>
          <w:color w:val="000000"/>
          <w:sz w:val="28"/>
          <w:szCs w:val="28"/>
        </w:rPr>
        <w:t>законность;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0" w:name="100031"/>
      <w:bookmarkEnd w:id="70"/>
      <w:r w:rsidRPr="00E103C6">
        <w:rPr>
          <w:color w:val="000000"/>
          <w:sz w:val="28"/>
          <w:szCs w:val="28"/>
        </w:rPr>
        <w:t>гласность;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1" w:name="100032"/>
      <w:bookmarkEnd w:id="71"/>
      <w:r w:rsidRPr="00E103C6">
        <w:rPr>
          <w:color w:val="000000"/>
          <w:sz w:val="28"/>
          <w:szCs w:val="28"/>
        </w:rPr>
        <w:t>приоритет обеспечения безопасности Российской Федерации;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2" w:name="100033"/>
      <w:bookmarkEnd w:id="72"/>
      <w:r w:rsidRPr="00E103C6">
        <w:rPr>
          <w:color w:val="000000"/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3" w:name="100034"/>
      <w:bookmarkEnd w:id="73"/>
      <w:r w:rsidRPr="00E103C6">
        <w:rPr>
          <w:color w:val="000000"/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A656DB" w:rsidRPr="00E103C6" w:rsidRDefault="00A656DB" w:rsidP="00A656DB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4" w:name="100035"/>
      <w:bookmarkEnd w:id="74"/>
      <w:r w:rsidRPr="00E103C6">
        <w:rPr>
          <w:color w:val="000000"/>
          <w:sz w:val="28"/>
          <w:szCs w:val="28"/>
        </w:rPr>
        <w:t>неотвратимость наказания за осуществление экстремистской деятельности.</w:t>
      </w:r>
    </w:p>
    <w:p w:rsidR="0004705C" w:rsidRPr="00E103C6" w:rsidRDefault="0004705C" w:rsidP="0004705C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04705C" w:rsidRPr="00E103C6" w:rsidRDefault="0004705C" w:rsidP="0004705C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5" w:name="100038"/>
      <w:bookmarkEnd w:id="75"/>
      <w:r w:rsidRPr="00E103C6">
        <w:rPr>
          <w:color w:val="000000"/>
          <w:sz w:val="28"/>
          <w:szCs w:val="28"/>
        </w:rPr>
        <w:t>принятие профилактических мер, направленных на предупреждение экстремистской деятельности</w:t>
      </w:r>
    </w:p>
    <w:p w:rsidR="00E103C6" w:rsidRDefault="001E7F53" w:rsidP="00391292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lastRenderedPageBreak/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r w:rsidR="00391292" w:rsidRPr="00E103C6">
        <w:rPr>
          <w:color w:val="000000"/>
          <w:sz w:val="28"/>
          <w:szCs w:val="28"/>
        </w:rPr>
        <w:t xml:space="preserve"> </w:t>
      </w:r>
    </w:p>
    <w:p w:rsidR="00391292" w:rsidRPr="00E103C6" w:rsidRDefault="00391292" w:rsidP="00391292">
      <w:pPr>
        <w:pStyle w:val="pboth"/>
        <w:spacing w:before="0" w:beforeAutospacing="0" w:after="224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r w:rsidRPr="00E103C6">
        <w:rPr>
          <w:color w:val="000000"/>
          <w:sz w:val="28"/>
          <w:szCs w:val="28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391292" w:rsidRPr="00E103C6" w:rsidRDefault="00391292" w:rsidP="00391292">
      <w:pPr>
        <w:pStyle w:val="pboth"/>
        <w:spacing w:before="0" w:beforeAutospacing="0" w:after="0" w:afterAutospacing="0" w:line="411" w:lineRule="atLeast"/>
        <w:jc w:val="both"/>
        <w:textAlignment w:val="baseline"/>
        <w:rPr>
          <w:color w:val="000000"/>
          <w:sz w:val="28"/>
          <w:szCs w:val="28"/>
        </w:rPr>
      </w:pPr>
      <w:bookmarkStart w:id="76" w:name="100091"/>
      <w:bookmarkEnd w:id="76"/>
      <w:r w:rsidRPr="00E103C6">
        <w:rPr>
          <w:color w:val="000000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C400E6" w:rsidRPr="00E103C6" w:rsidRDefault="00C400E6" w:rsidP="00A656DB">
      <w:pPr>
        <w:rPr>
          <w:rFonts w:ascii="Times New Roman" w:hAnsi="Times New Roman" w:cs="Times New Roman"/>
        </w:rPr>
      </w:pPr>
    </w:p>
    <w:p w:rsidR="00C1055D" w:rsidRPr="00E103C6" w:rsidRDefault="00C1055D" w:rsidP="00C1055D">
      <w:pPr>
        <w:shd w:val="clear" w:color="auto" w:fill="FFFFFF"/>
        <w:spacing w:after="240" w:line="411" w:lineRule="atLeast"/>
        <w:jc w:val="center"/>
        <w:rPr>
          <w:rFonts w:ascii="Times New Roman" w:eastAsia="Times New Roman" w:hAnsi="Times New Roman" w:cs="Times New Roman"/>
          <w:color w:val="4A4A4A"/>
          <w:sz w:val="36"/>
          <w:szCs w:val="36"/>
          <w:u w:val="single"/>
          <w:lang w:eastAsia="ru-RU"/>
        </w:rPr>
      </w:pPr>
      <w:r w:rsidRPr="00E103C6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u w:val="single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(на 5 апреля 2016 г.)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830"/>
        <w:gridCol w:w="2847"/>
      </w:tblGrid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 в законную силу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«Высший военный Маджлисуль Шура Объединенных сил моджахедов Кавказа»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Верховный </w:t>
            </w: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«Асбат аль-Ансар»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«Исламская группа» («Аль-Гамаа аль-Исламия»)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«Братья-мусульмане» («Аль-Ихван аль-Муслимун»)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«Партия исламского освобождения» («Хизб ут-Тахрир аль-Ислами»)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«Лашкар-И-Тайба»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04.03.2013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«Исламская группа» («Джамаат-и-Ислами»)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«Общество социальных реформ» («Джамият аль-Ислах аль-Иджтимаи»)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«Общество возрождения исламского наследия» («Джамият Ихья ат-Тураз аль-Ислами»)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«Дом двух святых» («Аль-Харамейн»)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14.02.2003 № ГКПИ 03 116,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«Джунд аш-Шам» (Войско Великой Сирии)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02.06.2006 № ГКПИ 06-531,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«Исламский джихад – Джамаат моджахедов»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02.06.2006 № ГКПИ 06-531,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13.11.2008 № ГКПИ 08-1956,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«Имарат Кавказ» («Кавказский Эмират»)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Верховный </w:t>
            </w: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08.02.2010 № ГКПИ 09-1715,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Московский  городской суд,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28.06.2013 № 3-67/2013,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Московский  городской суд,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17.12.2014, б/н,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Шама»)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29.12.2014 № АКПИ 14-1424С,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Джебхат ан-Нусра (Фронт победы) (другие названия: «Джабха аль-Нусра ли-Ахль аш-Шам» (Фронт поддержки Великой Сирии)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Верховный Суд 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29.12.2014 № АКПИ 14-1424С,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Московский городской суд,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18.02.2015 № 3-15/2015,</w:t>
            </w: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вступило в силу 12.08.2015</w:t>
            </w:r>
          </w:p>
        </w:tc>
      </w:tr>
      <w:tr w:rsidR="00C1055D" w:rsidRPr="00E103C6" w:rsidTr="00C1055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«Аджр от Аллаха Субхану уа ТагьаляSHAM» (Благословение от Аллаха милоственного</w:t>
            </w:r>
            <w:r w:rsidRPr="00E1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br/>
              <w:t>и милосердного СИРИЯ)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Московский окружной военный Суд</w:t>
            </w: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от 28.12.2015 № 2-69/2015,</w:t>
            </w:r>
          </w:p>
          <w:p w:rsidR="00C1055D" w:rsidRPr="00E103C6" w:rsidRDefault="00C1055D" w:rsidP="00C1055D">
            <w:pPr>
              <w:spacing w:after="0" w:line="41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03C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вступило в силу 05.04.2016</w:t>
            </w:r>
          </w:p>
        </w:tc>
      </w:tr>
    </w:tbl>
    <w:p w:rsidR="00C1055D" w:rsidRPr="00E103C6" w:rsidRDefault="00C1055D" w:rsidP="00C1055D">
      <w:pPr>
        <w:shd w:val="clear" w:color="auto" w:fill="FFFFFF"/>
        <w:spacing w:after="240" w:line="411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E103C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 </w:t>
      </w:r>
    </w:p>
    <w:p w:rsidR="00C1055D" w:rsidRPr="00A656DB" w:rsidRDefault="00C1055D" w:rsidP="00A656DB"/>
    <w:sectPr w:rsidR="00C1055D" w:rsidRPr="00A656DB" w:rsidSect="00DC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45" w:rsidRDefault="00C53545" w:rsidP="00F65D58">
      <w:pPr>
        <w:spacing w:after="0" w:line="240" w:lineRule="auto"/>
      </w:pPr>
      <w:r>
        <w:separator/>
      </w:r>
    </w:p>
  </w:endnote>
  <w:endnote w:type="continuationSeparator" w:id="1">
    <w:p w:rsidR="00C53545" w:rsidRDefault="00C53545" w:rsidP="00F6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45" w:rsidRDefault="00C53545" w:rsidP="00F65D58">
      <w:pPr>
        <w:spacing w:after="0" w:line="240" w:lineRule="auto"/>
      </w:pPr>
      <w:r>
        <w:separator/>
      </w:r>
    </w:p>
  </w:footnote>
  <w:footnote w:type="continuationSeparator" w:id="1">
    <w:p w:rsidR="00C53545" w:rsidRDefault="00C53545" w:rsidP="00F6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47A"/>
    <w:rsid w:val="0004705C"/>
    <w:rsid w:val="00065535"/>
    <w:rsid w:val="001E7F53"/>
    <w:rsid w:val="002B7845"/>
    <w:rsid w:val="002C48E0"/>
    <w:rsid w:val="00346D54"/>
    <w:rsid w:val="00360411"/>
    <w:rsid w:val="00364BFB"/>
    <w:rsid w:val="00391292"/>
    <w:rsid w:val="003F5CD4"/>
    <w:rsid w:val="00457870"/>
    <w:rsid w:val="00464FD4"/>
    <w:rsid w:val="00471E23"/>
    <w:rsid w:val="00480285"/>
    <w:rsid w:val="004824DB"/>
    <w:rsid w:val="00486F35"/>
    <w:rsid w:val="004D49BC"/>
    <w:rsid w:val="00501E48"/>
    <w:rsid w:val="00510230"/>
    <w:rsid w:val="00527181"/>
    <w:rsid w:val="00577AD5"/>
    <w:rsid w:val="005A6F96"/>
    <w:rsid w:val="005E4012"/>
    <w:rsid w:val="006C4112"/>
    <w:rsid w:val="007632A3"/>
    <w:rsid w:val="007C7305"/>
    <w:rsid w:val="007D012F"/>
    <w:rsid w:val="00810F55"/>
    <w:rsid w:val="008118E9"/>
    <w:rsid w:val="00840695"/>
    <w:rsid w:val="00886112"/>
    <w:rsid w:val="00950798"/>
    <w:rsid w:val="009F5E9C"/>
    <w:rsid w:val="00A656DB"/>
    <w:rsid w:val="00A65D80"/>
    <w:rsid w:val="00C1055D"/>
    <w:rsid w:val="00C400E6"/>
    <w:rsid w:val="00C53545"/>
    <w:rsid w:val="00CF5693"/>
    <w:rsid w:val="00DC3465"/>
    <w:rsid w:val="00DC470B"/>
    <w:rsid w:val="00E0347A"/>
    <w:rsid w:val="00E103C6"/>
    <w:rsid w:val="00F45958"/>
    <w:rsid w:val="00F65D58"/>
    <w:rsid w:val="00F7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65"/>
  </w:style>
  <w:style w:type="paragraph" w:styleId="1">
    <w:name w:val="heading 1"/>
    <w:basedOn w:val="a"/>
    <w:link w:val="10"/>
    <w:uiPriority w:val="9"/>
    <w:qFormat/>
    <w:rsid w:val="00E0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0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6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0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411"/>
  </w:style>
  <w:style w:type="paragraph" w:customStyle="1" w:styleId="pright">
    <w:name w:val="pright"/>
    <w:basedOn w:val="a"/>
    <w:rsid w:val="0047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D58"/>
  </w:style>
  <w:style w:type="paragraph" w:styleId="a6">
    <w:name w:val="footer"/>
    <w:basedOn w:val="a"/>
    <w:link w:val="a7"/>
    <w:uiPriority w:val="99"/>
    <w:semiHidden/>
    <w:unhideWhenUsed/>
    <w:rsid w:val="00F6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D58"/>
  </w:style>
  <w:style w:type="paragraph" w:styleId="a8">
    <w:name w:val="Normal (Web)"/>
    <w:basedOn w:val="a"/>
    <w:uiPriority w:val="99"/>
    <w:semiHidden/>
    <w:unhideWhenUsed/>
    <w:rsid w:val="00C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055D"/>
    <w:rPr>
      <w:b/>
      <w:bCs/>
    </w:rPr>
  </w:style>
  <w:style w:type="character" w:styleId="aa">
    <w:name w:val="Emphasis"/>
    <w:basedOn w:val="a0"/>
    <w:uiPriority w:val="20"/>
    <w:qFormat/>
    <w:rsid w:val="00C105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n.ru/news-20-operatorov-psikholog-i-surdoperevodchik-prinimayut-zvonki-na-nomer-1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2017-05-04T09:25:00Z</dcterms:created>
  <dcterms:modified xsi:type="dcterms:W3CDTF">2017-05-05T03:57:00Z</dcterms:modified>
</cp:coreProperties>
</file>